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C8" w:rsidRDefault="000C55C8" w:rsidP="000C55C8">
      <w:pPr>
        <w:rPr>
          <w:rFonts w:ascii="黑体" w:eastAsia="黑体" w:hAnsi="黑体"/>
          <w:sz w:val="32"/>
          <w:szCs w:val="32"/>
        </w:rPr>
      </w:pPr>
      <w:r>
        <w:rPr>
          <w:rFonts w:ascii="黑体" w:eastAsia="黑体" w:hAnsi="黑体" w:hint="eastAsia"/>
          <w:sz w:val="32"/>
          <w:szCs w:val="32"/>
        </w:rPr>
        <w:t>附件2</w:t>
      </w:r>
    </w:p>
    <w:p w:rsidR="000C55C8" w:rsidRDefault="000C55C8" w:rsidP="000C55C8">
      <w:pPr>
        <w:spacing w:line="594" w:lineRule="exact"/>
        <w:jc w:val="center"/>
        <w:rPr>
          <w:rFonts w:ascii="方正小标宋简体" w:eastAsia="方正小标宋简体" w:hAnsi="方正大标宋简体"/>
          <w:sz w:val="44"/>
          <w:szCs w:val="44"/>
        </w:rPr>
      </w:pPr>
    </w:p>
    <w:p w:rsidR="000C55C8" w:rsidRPr="008602D8" w:rsidRDefault="000C55C8" w:rsidP="000C55C8">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陕西省高校科协青年人才托举计划</w:t>
      </w:r>
    </w:p>
    <w:p w:rsidR="000C55C8" w:rsidRDefault="000C55C8" w:rsidP="000C55C8">
      <w:pPr>
        <w:spacing w:line="594" w:lineRule="exact"/>
        <w:jc w:val="center"/>
        <w:rPr>
          <w:rFonts w:ascii="方正小标宋简体" w:eastAsia="方正小标宋简体" w:hAnsi="方正大标宋简体"/>
          <w:sz w:val="44"/>
          <w:szCs w:val="44"/>
        </w:rPr>
      </w:pPr>
      <w:r>
        <w:rPr>
          <w:rFonts w:ascii="方正小标宋简体" w:eastAsia="方正小标宋简体" w:hAnsi="方正大标宋简体" w:hint="eastAsia"/>
          <w:sz w:val="44"/>
          <w:szCs w:val="44"/>
        </w:rPr>
        <w:t>项目管理办法</w:t>
      </w:r>
    </w:p>
    <w:p w:rsidR="000C55C8" w:rsidRPr="008602D8" w:rsidRDefault="000C55C8" w:rsidP="000C55C8">
      <w:pPr>
        <w:spacing w:line="594" w:lineRule="exact"/>
        <w:rPr>
          <w:rFonts w:ascii="方正楷体简体" w:eastAsia="方正楷体简体" w:hAnsi="华文楷体"/>
          <w:sz w:val="32"/>
          <w:szCs w:val="32"/>
        </w:rPr>
      </w:pPr>
      <w:r>
        <w:rPr>
          <w:rFonts w:ascii="方正楷体简体" w:eastAsia="方正楷体简体" w:hAnsi="华文楷体" w:hint="eastAsia"/>
          <w:sz w:val="32"/>
          <w:szCs w:val="32"/>
        </w:rPr>
        <w:t>（经陕西省科协专职领导办公会</w:t>
      </w:r>
      <w:r w:rsidRPr="00AA1F66">
        <w:rPr>
          <w:rFonts w:ascii="方正楷体简体" w:eastAsia="方正楷体简体" w:hAnsi="华文楷体" w:hint="eastAsia"/>
          <w:sz w:val="32"/>
          <w:szCs w:val="32"/>
        </w:rPr>
        <w:t>议20</w:t>
      </w:r>
      <w:r w:rsidRPr="00AA1F66">
        <w:rPr>
          <w:rFonts w:ascii="方正楷体简体" w:eastAsia="方正楷体简体" w:hAnsi="华文楷体"/>
          <w:sz w:val="32"/>
          <w:szCs w:val="32"/>
        </w:rPr>
        <w:t>19</w:t>
      </w:r>
      <w:r w:rsidRPr="00AA1F66">
        <w:rPr>
          <w:rFonts w:ascii="方正楷体简体" w:eastAsia="方正楷体简体" w:hAnsi="华文楷体" w:hint="eastAsia"/>
          <w:sz w:val="32"/>
          <w:szCs w:val="32"/>
        </w:rPr>
        <w:t>年</w:t>
      </w:r>
      <w:r w:rsidRPr="00AA1F66">
        <w:rPr>
          <w:rFonts w:ascii="方正楷体简体" w:eastAsia="方正楷体简体" w:hAnsi="华文楷体"/>
          <w:sz w:val="32"/>
          <w:szCs w:val="32"/>
        </w:rPr>
        <w:t>5</w:t>
      </w:r>
      <w:r w:rsidRPr="00AA1F66">
        <w:rPr>
          <w:rFonts w:ascii="方正楷体简体" w:eastAsia="方正楷体简体" w:hAnsi="华文楷体" w:hint="eastAsia"/>
          <w:sz w:val="32"/>
          <w:szCs w:val="32"/>
        </w:rPr>
        <w:t>月</w:t>
      </w:r>
      <w:r w:rsidRPr="00AA1F66">
        <w:rPr>
          <w:rFonts w:ascii="方正楷体简体" w:eastAsia="方正楷体简体" w:hAnsi="华文楷体"/>
          <w:sz w:val="32"/>
          <w:szCs w:val="32"/>
        </w:rPr>
        <w:t>24</w:t>
      </w:r>
      <w:r w:rsidRPr="00AA1F66">
        <w:rPr>
          <w:rFonts w:ascii="方正楷体简体" w:eastAsia="方正楷体简体" w:hAnsi="华文楷体" w:hint="eastAsia"/>
          <w:sz w:val="32"/>
          <w:szCs w:val="32"/>
        </w:rPr>
        <w:t>日</w:t>
      </w:r>
      <w:r>
        <w:rPr>
          <w:rFonts w:ascii="方正楷体简体" w:eastAsia="方正楷体简体" w:hAnsi="华文楷体" w:hint="eastAsia"/>
          <w:sz w:val="32"/>
          <w:szCs w:val="32"/>
        </w:rPr>
        <w:t>审议通过）</w:t>
      </w:r>
    </w:p>
    <w:p w:rsidR="000C55C8" w:rsidRDefault="000C55C8" w:rsidP="000C55C8">
      <w:pPr>
        <w:spacing w:line="594" w:lineRule="exact"/>
        <w:jc w:val="center"/>
        <w:rPr>
          <w:rFonts w:ascii="楷体_GB2312" w:eastAsia="楷体_GB2312" w:hAnsi="华文楷体"/>
          <w:sz w:val="32"/>
          <w:szCs w:val="32"/>
        </w:rPr>
      </w:pPr>
    </w:p>
    <w:p w:rsidR="000C55C8" w:rsidRPr="008602D8" w:rsidRDefault="000C55C8" w:rsidP="000C55C8">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一</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总</w:t>
      </w:r>
      <w:r w:rsidRPr="008602D8">
        <w:rPr>
          <w:rFonts w:ascii="黑体" w:eastAsia="黑体" w:hAnsi="微软雅黑"/>
          <w:sz w:val="32"/>
          <w:szCs w:val="28"/>
        </w:rPr>
        <w:t xml:space="preserve"> </w:t>
      </w:r>
      <w:r w:rsidRPr="008602D8">
        <w:rPr>
          <w:rFonts w:ascii="黑体" w:eastAsia="黑体" w:hAnsi="微软雅黑" w:hint="eastAsia"/>
          <w:sz w:val="32"/>
          <w:szCs w:val="28"/>
        </w:rPr>
        <w:t>则</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第一条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起步期”，夯实职业基础，扶持年轻人才逐步成长为德才兼备、勇于创新的优秀科技人才。</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第三条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第四条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第五条</w:t>
      </w:r>
      <w:r>
        <w:rPr>
          <w:rFonts w:ascii="华文仿宋" w:eastAsia="华文仿宋" w:hAnsi="华文仿宋"/>
          <w:b/>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省科协负责组织青年人才托举计划项目的申报、受理、评审和结题，并对各高校科协承担青年人才托举计划项目的实施进展和管理进行检查指导。</w:t>
      </w:r>
    </w:p>
    <w:p w:rsidR="000C55C8" w:rsidRDefault="000C55C8" w:rsidP="000C55C8">
      <w:pPr>
        <w:adjustRightInd w:val="0"/>
        <w:snapToGrid w:val="0"/>
        <w:spacing w:line="520" w:lineRule="exact"/>
        <w:ind w:firstLineChars="200" w:firstLine="640"/>
        <w:jc w:val="center"/>
        <w:rPr>
          <w:rFonts w:ascii="微软雅黑" w:eastAsia="微软雅黑" w:hAnsi="微软雅黑"/>
          <w:b/>
          <w:sz w:val="32"/>
          <w:szCs w:val="28"/>
        </w:rPr>
      </w:pPr>
    </w:p>
    <w:p w:rsidR="000C55C8" w:rsidRPr="008602D8" w:rsidRDefault="000C55C8" w:rsidP="000C55C8">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第二章</w:t>
      </w:r>
      <w:r w:rsidRPr="008602D8">
        <w:rPr>
          <w:rFonts w:ascii="黑体" w:eastAsia="黑体" w:hAnsi="微软雅黑"/>
          <w:sz w:val="32"/>
          <w:szCs w:val="28"/>
        </w:rPr>
        <w:t xml:space="preserve">  </w:t>
      </w:r>
      <w:r w:rsidRPr="008602D8">
        <w:rPr>
          <w:rFonts w:ascii="黑体" w:eastAsia="黑体" w:hAnsi="微软雅黑" w:hint="eastAsia"/>
          <w:sz w:val="32"/>
          <w:szCs w:val="28"/>
        </w:rPr>
        <w:t>资助范围与条件</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7" w:history="1">
        <w:r>
          <w:rPr>
            <w:rFonts w:ascii="华文仿宋" w:eastAsia="华文仿宋" w:hAnsi="华文仿宋" w:hint="eastAsia"/>
            <w:sz w:val="32"/>
            <w:szCs w:val="32"/>
          </w:rPr>
          <w:t>数</w:t>
        </w:r>
        <w:proofErr w:type="gramStart"/>
        <w:r>
          <w:rPr>
            <w:rFonts w:ascii="华文仿宋" w:eastAsia="华文仿宋" w:hAnsi="华文仿宋" w:hint="eastAsia"/>
            <w:sz w:val="32"/>
            <w:szCs w:val="32"/>
          </w:rPr>
          <w:t>理科学类</w:t>
        </w:r>
        <w:proofErr w:type="gramEnd"/>
      </w:hyperlink>
      <w:r>
        <w:rPr>
          <w:rFonts w:ascii="华文仿宋" w:eastAsia="华文仿宋" w:hAnsi="华文仿宋" w:hint="eastAsia"/>
          <w:sz w:val="32"/>
          <w:szCs w:val="32"/>
        </w:rPr>
        <w:t>：包括数学、力学、天文、物理；</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8" w:history="1">
        <w:r>
          <w:rPr>
            <w:rFonts w:ascii="华文仿宋" w:eastAsia="华文仿宋" w:hAnsi="华文仿宋" w:hint="eastAsia"/>
            <w:sz w:val="32"/>
            <w:szCs w:val="32"/>
          </w:rPr>
          <w:t>化学科学类</w:t>
        </w:r>
      </w:hyperlink>
      <w:r>
        <w:rPr>
          <w:rFonts w:ascii="华文仿宋" w:eastAsia="华文仿宋" w:hAnsi="华文仿宋" w:hint="eastAsia"/>
          <w:sz w:val="32"/>
          <w:szCs w:val="32"/>
        </w:rPr>
        <w:t>：无机化学、分析化学、有机化学、物理化学、高分子科学、环境化学、化学工程等；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9" w:history="1">
        <w:r>
          <w:rPr>
            <w:rFonts w:ascii="华文仿宋" w:eastAsia="华文仿宋" w:hAnsi="华文仿宋" w:hint="eastAsia"/>
            <w:sz w:val="32"/>
            <w:szCs w:val="32"/>
          </w:rPr>
          <w:t>生命科学类</w:t>
        </w:r>
      </w:hyperlink>
      <w:r>
        <w:rPr>
          <w:rFonts w:ascii="华文仿宋" w:eastAsia="华文仿宋" w:hAnsi="华文仿宋" w:hint="eastAsia"/>
          <w:sz w:val="32"/>
          <w:szCs w:val="32"/>
        </w:rPr>
        <w:t>：微生物、植物、林学、免疫学、神经科学、农学、食品科学、园艺、畜牧、水产等；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10" w:history="1">
        <w:r>
          <w:rPr>
            <w:rFonts w:ascii="华文仿宋" w:eastAsia="华文仿宋" w:hAnsi="华文仿宋" w:hint="eastAsia"/>
            <w:sz w:val="32"/>
            <w:szCs w:val="32"/>
          </w:rPr>
          <w:t>地球科学类</w:t>
        </w:r>
      </w:hyperlink>
      <w:r>
        <w:rPr>
          <w:rFonts w:ascii="华文仿宋" w:eastAsia="华文仿宋" w:hAnsi="华文仿宋" w:hint="eastAsia"/>
          <w:sz w:val="32"/>
          <w:szCs w:val="32"/>
        </w:rPr>
        <w:t>：地理学、地质学、地球化学、地球物理学、海洋科学、大气科学等；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11" w:history="1">
        <w:r>
          <w:rPr>
            <w:rFonts w:ascii="华文仿宋" w:eastAsia="华文仿宋" w:hAnsi="华文仿宋" w:hint="eastAsia"/>
            <w:sz w:val="32"/>
            <w:szCs w:val="32"/>
          </w:rPr>
          <w:t>工程与材料科学类</w:t>
        </w:r>
      </w:hyperlink>
      <w:r>
        <w:rPr>
          <w:rFonts w:ascii="华文仿宋" w:eastAsia="华文仿宋" w:hAnsi="华文仿宋" w:hint="eastAsia"/>
          <w:sz w:val="32"/>
          <w:szCs w:val="32"/>
        </w:rPr>
        <w:t>：金属材料、高分子材料、冶金与矿业、机械工程、能源利用、建筑、环境与结构工程、电气、水利科学与海洋工程等；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hyperlink r:id="rId12" w:history="1">
        <w:r>
          <w:rPr>
            <w:rFonts w:ascii="华文仿宋" w:eastAsia="华文仿宋" w:hAnsi="华文仿宋" w:hint="eastAsia"/>
            <w:sz w:val="32"/>
            <w:szCs w:val="32"/>
          </w:rPr>
          <w:t>信息科学类</w:t>
        </w:r>
      </w:hyperlink>
      <w:r>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u w:val="single"/>
        </w:rPr>
      </w:pPr>
      <w:hyperlink r:id="rId13" w:history="1">
        <w:r>
          <w:rPr>
            <w:rFonts w:ascii="华文仿宋" w:eastAsia="华文仿宋" w:hAnsi="华文仿宋" w:hint="eastAsia"/>
            <w:sz w:val="32"/>
            <w:szCs w:val="32"/>
          </w:rPr>
          <w:t>医学科学类</w:t>
        </w:r>
      </w:hyperlink>
      <w:r>
        <w:rPr>
          <w:rFonts w:ascii="华文仿宋" w:eastAsia="华文仿宋" w:hAnsi="华文仿宋" w:hint="eastAsia"/>
          <w:sz w:val="32"/>
          <w:szCs w:val="32"/>
        </w:rPr>
        <w:t>：医学、药学。</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（二）申请者必须是项目的实际负责人，有足够的时间和精力从事项目研究；</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（三）学术思想新颖，研究目标明确，研究内容具体，研究方法和技术路线可行；</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（四）计划进度安排合理，一般在两年内完成；</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（五）具备一定的研究基础和研究条件；</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（六）经费预算合理。</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第八条</w:t>
      </w:r>
      <w:r>
        <w:rPr>
          <w:rFonts w:ascii="黑体" w:eastAsia="黑体" w:hAnsi="华文仿宋"/>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第九条</w:t>
      </w:r>
      <w:r>
        <w:rPr>
          <w:rFonts w:ascii="华文仿宋" w:eastAsia="华文仿宋" w:hAnsi="华文仿宋"/>
          <w:b/>
          <w:sz w:val="32"/>
          <w:szCs w:val="32"/>
        </w:rPr>
        <w:t xml:space="preserve">  </w:t>
      </w:r>
      <w:r>
        <w:rPr>
          <w:rFonts w:ascii="华文仿宋" w:eastAsia="华文仿宋" w:hAnsi="华文仿宋" w:hint="eastAsia"/>
          <w:sz w:val="32"/>
          <w:szCs w:val="32"/>
        </w:rPr>
        <w:t>申请人同年只能申请</w:t>
      </w:r>
      <w:r>
        <w:rPr>
          <w:rFonts w:ascii="华文仿宋" w:eastAsia="华文仿宋" w:hAnsi="华文仿宋"/>
          <w:sz w:val="32"/>
          <w:szCs w:val="32"/>
        </w:rPr>
        <w:t>1</w:t>
      </w:r>
      <w:r>
        <w:rPr>
          <w:rFonts w:ascii="华文仿宋" w:eastAsia="华文仿宋" w:hAnsi="华文仿宋" w:hint="eastAsia"/>
          <w:sz w:val="32"/>
          <w:szCs w:val="32"/>
        </w:rPr>
        <w:t>项青年人才托举计划项目，不受理项目组主要成员提出的新的项目申请。青年人才托举计划项目组成员一般不超过</w:t>
      </w:r>
      <w:r>
        <w:rPr>
          <w:rFonts w:ascii="华文仿宋" w:eastAsia="华文仿宋" w:hAnsi="华文仿宋"/>
          <w:sz w:val="32"/>
          <w:szCs w:val="32"/>
        </w:rPr>
        <w:t>5</w:t>
      </w:r>
      <w:r>
        <w:rPr>
          <w:rFonts w:ascii="华文仿宋" w:eastAsia="华文仿宋" w:hAnsi="华文仿宋" w:hint="eastAsia"/>
          <w:sz w:val="32"/>
          <w:szCs w:val="32"/>
        </w:rPr>
        <w:t>人。</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作为负责人正在承担陕西省高校科协青年人才托举计划项目的申请人，不得再次申请。</w:t>
      </w:r>
    </w:p>
    <w:p w:rsidR="000C55C8" w:rsidRPr="00662FFF" w:rsidRDefault="000C55C8" w:rsidP="000C55C8">
      <w:pPr>
        <w:adjustRightInd w:val="0"/>
        <w:snapToGrid w:val="0"/>
        <w:spacing w:line="520" w:lineRule="exact"/>
        <w:ind w:firstLineChars="200" w:firstLine="640"/>
        <w:rPr>
          <w:rFonts w:ascii="华文仿宋" w:eastAsia="华文仿宋" w:hAnsi="华文仿宋"/>
          <w:sz w:val="32"/>
          <w:szCs w:val="32"/>
        </w:rPr>
      </w:pPr>
      <w:r w:rsidRPr="00662FFF">
        <w:rPr>
          <w:rFonts w:ascii="华文仿宋" w:eastAsia="华文仿宋" w:hAnsi="华文仿宋" w:hint="eastAsia"/>
          <w:sz w:val="32"/>
          <w:szCs w:val="32"/>
        </w:rPr>
        <w:t>入选</w:t>
      </w:r>
      <w:r w:rsidRPr="00662FFF">
        <w:rPr>
          <w:rFonts w:ascii="华文仿宋" w:eastAsia="华文仿宋" w:hAnsi="华文仿宋"/>
          <w:sz w:val="32"/>
          <w:szCs w:val="32"/>
        </w:rPr>
        <w:t>省人力资源社会保障厅“</w:t>
      </w:r>
      <w:r w:rsidRPr="00662FFF">
        <w:rPr>
          <w:rFonts w:ascii="华文仿宋" w:eastAsia="华文仿宋" w:hAnsi="华文仿宋" w:hint="eastAsia"/>
          <w:sz w:val="32"/>
          <w:szCs w:val="32"/>
        </w:rPr>
        <w:t>博士后</w:t>
      </w:r>
      <w:r w:rsidRPr="00662FFF">
        <w:rPr>
          <w:rFonts w:ascii="华文仿宋" w:eastAsia="华文仿宋" w:hAnsi="华文仿宋"/>
          <w:sz w:val="32"/>
          <w:szCs w:val="32"/>
        </w:rPr>
        <w:t>科研项目资助计划”</w:t>
      </w:r>
      <w:r w:rsidRPr="00662FFF">
        <w:rPr>
          <w:rFonts w:ascii="华文仿宋" w:eastAsia="华文仿宋" w:hAnsi="华文仿宋" w:hint="eastAsia"/>
          <w:sz w:val="32"/>
          <w:szCs w:val="32"/>
        </w:rPr>
        <w:t>的申请人，不得申请青年人才托举计划项目。</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0C55C8" w:rsidRDefault="000C55C8" w:rsidP="000C55C8">
      <w:pPr>
        <w:adjustRightInd w:val="0"/>
        <w:snapToGrid w:val="0"/>
        <w:spacing w:line="520" w:lineRule="exact"/>
        <w:ind w:firstLineChars="200" w:firstLine="640"/>
        <w:jc w:val="center"/>
        <w:rPr>
          <w:rFonts w:ascii="微软雅黑" w:eastAsia="微软雅黑" w:hAnsi="微软雅黑"/>
          <w:b/>
          <w:sz w:val="32"/>
          <w:szCs w:val="28"/>
        </w:rPr>
      </w:pPr>
    </w:p>
    <w:p w:rsidR="000C55C8" w:rsidRPr="008602D8" w:rsidRDefault="000C55C8" w:rsidP="000C55C8">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第三章</w:t>
      </w:r>
      <w:r w:rsidRPr="008602D8">
        <w:rPr>
          <w:rFonts w:ascii="黑体" w:eastAsia="黑体" w:hAnsi="微软雅黑"/>
          <w:sz w:val="32"/>
          <w:szCs w:val="28"/>
        </w:rPr>
        <w:t xml:space="preserve">  </w:t>
      </w:r>
      <w:r w:rsidRPr="008602D8">
        <w:rPr>
          <w:rFonts w:ascii="黑体" w:eastAsia="黑体" w:hAnsi="微软雅黑" w:hint="eastAsia"/>
          <w:sz w:val="32"/>
          <w:szCs w:val="28"/>
        </w:rPr>
        <w:t>申请与评审</w:t>
      </w:r>
    </w:p>
    <w:p w:rsidR="000C55C8" w:rsidRDefault="000C55C8" w:rsidP="000C55C8">
      <w:pPr>
        <w:adjustRightInd w:val="0"/>
        <w:snapToGrid w:val="0"/>
        <w:spacing w:line="520" w:lineRule="exact"/>
        <w:ind w:firstLineChars="200" w:firstLine="640"/>
        <w:rPr>
          <w:rFonts w:ascii="华文仿宋" w:eastAsia="华文仿宋" w:hAnsi="华文仿宋" w:cs="仿宋_GB2312"/>
          <w:sz w:val="32"/>
          <w:szCs w:val="32"/>
        </w:rPr>
      </w:pPr>
      <w:r w:rsidRPr="008602D8">
        <w:rPr>
          <w:rFonts w:ascii="黑体" w:eastAsia="黑体" w:hAnsi="华文仿宋" w:hint="eastAsia"/>
          <w:sz w:val="32"/>
          <w:szCs w:val="32"/>
        </w:rPr>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w:t>
      </w:r>
      <w:r>
        <w:rPr>
          <w:rFonts w:ascii="华文仿宋" w:eastAsia="华文仿宋" w:hAnsi="华文仿宋" w:cs="仿宋_GB2312" w:hint="eastAsia"/>
          <w:sz w:val="32"/>
          <w:szCs w:val="32"/>
        </w:rPr>
        <w:lastRenderedPageBreak/>
        <w:t>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的科学性、创新性、实用性和可行性做出实事求是的评价，并提出是否推荐立项的建议。</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及相关研究领域的国内外发展状况；</w:t>
      </w:r>
      <w:r>
        <w:rPr>
          <w:rFonts w:ascii="华文仿宋" w:eastAsia="华文仿宋" w:hAnsi="华文仿宋"/>
          <w:sz w:val="32"/>
          <w:szCs w:val="32"/>
        </w:rPr>
        <w:t xml:space="preserve"> </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0C55C8" w:rsidRDefault="000C55C8" w:rsidP="000C55C8">
      <w:pPr>
        <w:adjustRightInd w:val="0"/>
        <w:snapToGrid w:val="0"/>
        <w:spacing w:line="520" w:lineRule="exact"/>
        <w:ind w:firstLineChars="200" w:firstLine="64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0C55C8" w:rsidRDefault="000C55C8" w:rsidP="000C55C8">
      <w:pPr>
        <w:adjustRightInd w:val="0"/>
        <w:snapToGrid w:val="0"/>
        <w:spacing w:line="520" w:lineRule="exact"/>
        <w:ind w:firstLineChars="200" w:firstLine="640"/>
        <w:jc w:val="center"/>
        <w:rPr>
          <w:rFonts w:ascii="微软雅黑" w:eastAsia="微软雅黑" w:hAnsi="微软雅黑"/>
          <w:b/>
          <w:sz w:val="32"/>
          <w:szCs w:val="28"/>
        </w:rPr>
      </w:pPr>
    </w:p>
    <w:p w:rsidR="000C55C8" w:rsidRPr="008602D8" w:rsidRDefault="000C55C8" w:rsidP="000C55C8">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第四章</w:t>
      </w:r>
      <w:r w:rsidRPr="008602D8">
        <w:rPr>
          <w:rFonts w:ascii="黑体" w:eastAsia="黑体" w:hAnsi="微软雅黑"/>
          <w:sz w:val="32"/>
          <w:szCs w:val="28"/>
        </w:rPr>
        <w:t xml:space="preserve">  </w:t>
      </w:r>
      <w:r w:rsidRPr="008602D8">
        <w:rPr>
          <w:rFonts w:ascii="黑体" w:eastAsia="黑体" w:hAnsi="微软雅黑" w:hint="eastAsia"/>
          <w:sz w:val="32"/>
          <w:szCs w:val="28"/>
        </w:rPr>
        <w:t>立项与实施</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省科协依据专家评审组的意见，下达项目承担学校科协组织实施。</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第十九条</w:t>
      </w:r>
      <w:r>
        <w:rPr>
          <w:rFonts w:ascii="黑体" w:eastAsia="黑体" w:hAnsi="华文仿宋"/>
          <w:sz w:val="32"/>
          <w:szCs w:val="32"/>
        </w:rPr>
        <w:t xml:space="preserve"> </w:t>
      </w:r>
      <w:r w:rsidRPr="008602D8">
        <w:rPr>
          <w:rFonts w:ascii="黑体" w:eastAsia="黑体" w:hAnsi="华文仿宋"/>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第二十条</w:t>
      </w:r>
      <w:r w:rsidRPr="008602D8">
        <w:rPr>
          <w:rFonts w:ascii="华文仿宋" w:eastAsia="华文仿宋" w:hAnsi="华文仿宋"/>
          <w:b/>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省科协对立项项目予以经费支持，各高校按照1:1进行经费配套。各高校科协应按项目计划单独建帐，专款专用，任何单位和个人无权截留、挪用。鼓励高校建立青年人才培养专项基金，并制定相关管理办法，为青年人才托举工作提供经费保障。</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（四）项目资助经费的使用违反财务制度的；</w:t>
      </w:r>
      <w:r>
        <w:rPr>
          <w:rFonts w:ascii="华文仿宋" w:eastAsia="华文仿宋" w:hAnsi="华文仿宋"/>
          <w:sz w:val="32"/>
          <w:szCs w:val="32"/>
        </w:rPr>
        <w:t xml:space="preserve">   </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lastRenderedPageBreak/>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终止或撤销的项目，承担单位应出具书面报告并提出剩余经费使用意见，报省科协。</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0C55C8" w:rsidRDefault="000C55C8" w:rsidP="000C55C8">
      <w:pPr>
        <w:adjustRightInd w:val="0"/>
        <w:snapToGrid w:val="0"/>
        <w:spacing w:line="520" w:lineRule="exact"/>
        <w:ind w:firstLineChars="200" w:firstLine="640"/>
        <w:jc w:val="center"/>
        <w:rPr>
          <w:rFonts w:ascii="微软雅黑" w:eastAsia="微软雅黑" w:hAnsi="微软雅黑"/>
          <w:b/>
          <w:sz w:val="32"/>
          <w:szCs w:val="28"/>
        </w:rPr>
      </w:pPr>
    </w:p>
    <w:p w:rsidR="000C55C8" w:rsidRPr="008602D8" w:rsidRDefault="000C55C8" w:rsidP="000C55C8">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第五章</w:t>
      </w:r>
      <w:r w:rsidRPr="008602D8">
        <w:rPr>
          <w:rFonts w:ascii="黑体" w:eastAsia="黑体" w:hAnsi="微软雅黑"/>
          <w:sz w:val="32"/>
          <w:szCs w:val="28"/>
        </w:rPr>
        <w:t xml:space="preserve">  </w:t>
      </w:r>
      <w:r w:rsidRPr="008602D8">
        <w:rPr>
          <w:rFonts w:ascii="黑体" w:eastAsia="黑体" w:hAnsi="微软雅黑" w:hint="eastAsia"/>
          <w:sz w:val="32"/>
          <w:szCs w:val="28"/>
        </w:rPr>
        <w:t>项目结题</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青年人才托举计划项目期满后需进行结题，经校科协审核，项目负责人向陕西省科学技术协会提交《陕西省高校科协青年人才托举计划项目资助结题报告》。</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第二十八条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0C55C8" w:rsidRDefault="000C55C8" w:rsidP="000C55C8">
      <w:pPr>
        <w:adjustRightInd w:val="0"/>
        <w:snapToGrid w:val="0"/>
        <w:spacing w:line="520" w:lineRule="exact"/>
        <w:ind w:firstLineChars="200" w:firstLine="640"/>
        <w:jc w:val="center"/>
        <w:rPr>
          <w:rFonts w:ascii="微软雅黑" w:eastAsia="微软雅黑" w:hAnsi="微软雅黑"/>
          <w:b/>
          <w:sz w:val="32"/>
          <w:szCs w:val="28"/>
        </w:rPr>
      </w:pPr>
    </w:p>
    <w:p w:rsidR="000C55C8" w:rsidRPr="008602D8" w:rsidRDefault="000C55C8" w:rsidP="000C55C8">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六</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附</w:t>
      </w:r>
      <w:r>
        <w:rPr>
          <w:rFonts w:ascii="黑体" w:eastAsia="黑体" w:hAnsi="微软雅黑"/>
          <w:sz w:val="32"/>
          <w:szCs w:val="28"/>
        </w:rPr>
        <w:t xml:space="preserve">  </w:t>
      </w:r>
      <w:r w:rsidRPr="008602D8">
        <w:rPr>
          <w:rFonts w:ascii="黑体" w:eastAsia="黑体" w:hAnsi="微软雅黑" w:hint="eastAsia"/>
          <w:sz w:val="32"/>
          <w:szCs w:val="28"/>
        </w:rPr>
        <w:t>则</w:t>
      </w:r>
    </w:p>
    <w:p w:rsidR="000C55C8" w:rsidRDefault="000C55C8" w:rsidP="000C55C8">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0C55C8" w:rsidRDefault="000C55C8" w:rsidP="000C55C8">
      <w:pPr>
        <w:adjustRightInd w:val="0"/>
        <w:snapToGrid w:val="0"/>
        <w:spacing w:line="520" w:lineRule="exact"/>
        <w:ind w:firstLineChars="200" w:firstLine="640"/>
        <w:sectPr w:rsidR="000C55C8" w:rsidSect="00971E1E">
          <w:footerReference w:type="default" r:id="rId14"/>
          <w:pgSz w:w="11907" w:h="16840"/>
          <w:pgMar w:top="1701" w:right="1531" w:bottom="1985" w:left="1531" w:header="794" w:footer="992" w:gutter="0"/>
          <w:cols w:space="720"/>
          <w:docGrid w:type="lines" w:linePitch="312"/>
        </w:sectPr>
      </w:pPr>
      <w:r w:rsidRPr="008602D8">
        <w:rPr>
          <w:rFonts w:ascii="黑体" w:eastAsia="黑体" w:hAnsi="华文仿宋" w:hint="eastAsia"/>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p>
    <w:p w:rsidR="00BF5CA1" w:rsidRPr="000C55C8" w:rsidRDefault="00BF5CA1">
      <w:pPr>
        <w:rPr>
          <w:rFonts w:hint="eastAsia"/>
        </w:rPr>
      </w:pPr>
      <w:bookmarkStart w:id="0" w:name="_GoBack"/>
      <w:bookmarkEnd w:id="0"/>
    </w:p>
    <w:sectPr w:rsidR="00BF5CA1" w:rsidRPr="000C5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FE" w:rsidRDefault="005A7DFE" w:rsidP="000C55C8">
      <w:r>
        <w:separator/>
      </w:r>
    </w:p>
  </w:endnote>
  <w:endnote w:type="continuationSeparator" w:id="0">
    <w:p w:rsidR="005A7DFE" w:rsidRDefault="005A7DFE" w:rsidP="000C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74829"/>
      <w:docPartObj>
        <w:docPartGallery w:val="Page Numbers (Bottom of Page)"/>
        <w:docPartUnique/>
      </w:docPartObj>
    </w:sdtPr>
    <w:sdtEndPr>
      <w:rPr>
        <w:sz w:val="24"/>
        <w:szCs w:val="24"/>
      </w:rPr>
    </w:sdtEndPr>
    <w:sdtContent>
      <w:p w:rsidR="000C55C8" w:rsidRPr="003271C7" w:rsidRDefault="000C55C8" w:rsidP="000C55C8">
        <w:pPr>
          <w:pStyle w:val="a4"/>
          <w:numPr>
            <w:ilvl w:val="0"/>
            <w:numId w:val="1"/>
          </w:numPr>
          <w:jc w:val="center"/>
          <w:rPr>
            <w:sz w:val="24"/>
            <w:szCs w:val="24"/>
          </w:rPr>
        </w:pPr>
        <w:r w:rsidRPr="003271C7">
          <w:rPr>
            <w:noProof/>
            <w:sz w:val="24"/>
            <w:szCs w:val="24"/>
            <w:lang w:val="zh-CN"/>
          </w:rPr>
          <w:fldChar w:fldCharType="begin"/>
        </w:r>
        <w:r w:rsidRPr="003271C7">
          <w:rPr>
            <w:noProof/>
            <w:sz w:val="24"/>
            <w:szCs w:val="24"/>
            <w:lang w:val="zh-CN"/>
          </w:rPr>
          <w:instrText xml:space="preserve"> PAGE   \* MERGEFORMAT </w:instrText>
        </w:r>
        <w:r w:rsidRPr="003271C7">
          <w:rPr>
            <w:noProof/>
            <w:sz w:val="24"/>
            <w:szCs w:val="24"/>
            <w:lang w:val="zh-CN"/>
          </w:rPr>
          <w:fldChar w:fldCharType="separate"/>
        </w:r>
        <w:r>
          <w:rPr>
            <w:noProof/>
            <w:sz w:val="24"/>
            <w:szCs w:val="24"/>
            <w:lang w:val="zh-CN"/>
          </w:rPr>
          <w:t>7</w:t>
        </w:r>
        <w:r w:rsidRPr="003271C7">
          <w:rPr>
            <w:noProof/>
            <w:sz w:val="24"/>
            <w:szCs w:val="24"/>
            <w:lang w:val="zh-CN"/>
          </w:rPr>
          <w:fldChar w:fldCharType="end"/>
        </w:r>
        <w:r w:rsidRPr="003271C7">
          <w:rPr>
            <w:noProof/>
            <w:sz w:val="24"/>
            <w:szCs w:val="24"/>
            <w:lang w:val="zh-CN"/>
          </w:rPr>
          <w:t xml:space="preserve"> —</w:t>
        </w:r>
      </w:p>
    </w:sdtContent>
  </w:sdt>
  <w:p w:rsidR="000C55C8" w:rsidRDefault="000C55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FE" w:rsidRDefault="005A7DFE" w:rsidP="000C55C8">
      <w:r>
        <w:separator/>
      </w:r>
    </w:p>
  </w:footnote>
  <w:footnote w:type="continuationSeparator" w:id="0">
    <w:p w:rsidR="005A7DFE" w:rsidRDefault="005A7DFE" w:rsidP="000C5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9364B"/>
    <w:multiLevelType w:val="hybridMultilevel"/>
    <w:tmpl w:val="A7A01C3C"/>
    <w:lvl w:ilvl="0" w:tplc="8D2EA716">
      <w:start w:val="1"/>
      <w:numFmt w:val="bullet"/>
      <w:lvlText w:val="—"/>
      <w:lvlJc w:val="left"/>
      <w:pPr>
        <w:ind w:left="6840" w:hanging="360"/>
      </w:pPr>
      <w:rPr>
        <w:rFonts w:ascii="Times New Roman" w:eastAsia="宋体" w:hAnsi="Times New Roman" w:cs="Times New Roman" w:hint="default"/>
      </w:rPr>
    </w:lvl>
    <w:lvl w:ilvl="1" w:tplc="04090003" w:tentative="1">
      <w:start w:val="1"/>
      <w:numFmt w:val="bullet"/>
      <w:lvlText w:val=""/>
      <w:lvlJc w:val="left"/>
      <w:pPr>
        <w:ind w:left="7320" w:hanging="420"/>
      </w:pPr>
      <w:rPr>
        <w:rFonts w:ascii="Wingdings" w:hAnsi="Wingdings" w:hint="default"/>
      </w:rPr>
    </w:lvl>
    <w:lvl w:ilvl="2" w:tplc="04090005" w:tentative="1">
      <w:start w:val="1"/>
      <w:numFmt w:val="bullet"/>
      <w:lvlText w:val=""/>
      <w:lvlJc w:val="left"/>
      <w:pPr>
        <w:ind w:left="7740" w:hanging="420"/>
      </w:pPr>
      <w:rPr>
        <w:rFonts w:ascii="Wingdings" w:hAnsi="Wingdings" w:hint="default"/>
      </w:rPr>
    </w:lvl>
    <w:lvl w:ilvl="3" w:tplc="04090001" w:tentative="1">
      <w:start w:val="1"/>
      <w:numFmt w:val="bullet"/>
      <w:lvlText w:val=""/>
      <w:lvlJc w:val="left"/>
      <w:pPr>
        <w:ind w:left="8160" w:hanging="420"/>
      </w:pPr>
      <w:rPr>
        <w:rFonts w:ascii="Wingdings" w:hAnsi="Wingdings" w:hint="default"/>
      </w:rPr>
    </w:lvl>
    <w:lvl w:ilvl="4" w:tplc="04090003" w:tentative="1">
      <w:start w:val="1"/>
      <w:numFmt w:val="bullet"/>
      <w:lvlText w:val=""/>
      <w:lvlJc w:val="left"/>
      <w:pPr>
        <w:ind w:left="8580" w:hanging="420"/>
      </w:pPr>
      <w:rPr>
        <w:rFonts w:ascii="Wingdings" w:hAnsi="Wingdings" w:hint="default"/>
      </w:rPr>
    </w:lvl>
    <w:lvl w:ilvl="5" w:tplc="04090005" w:tentative="1">
      <w:start w:val="1"/>
      <w:numFmt w:val="bullet"/>
      <w:lvlText w:val=""/>
      <w:lvlJc w:val="left"/>
      <w:pPr>
        <w:ind w:left="9000" w:hanging="420"/>
      </w:pPr>
      <w:rPr>
        <w:rFonts w:ascii="Wingdings" w:hAnsi="Wingdings" w:hint="default"/>
      </w:rPr>
    </w:lvl>
    <w:lvl w:ilvl="6" w:tplc="04090001" w:tentative="1">
      <w:start w:val="1"/>
      <w:numFmt w:val="bullet"/>
      <w:lvlText w:val=""/>
      <w:lvlJc w:val="left"/>
      <w:pPr>
        <w:ind w:left="9420" w:hanging="420"/>
      </w:pPr>
      <w:rPr>
        <w:rFonts w:ascii="Wingdings" w:hAnsi="Wingdings" w:hint="default"/>
      </w:rPr>
    </w:lvl>
    <w:lvl w:ilvl="7" w:tplc="04090003" w:tentative="1">
      <w:start w:val="1"/>
      <w:numFmt w:val="bullet"/>
      <w:lvlText w:val=""/>
      <w:lvlJc w:val="left"/>
      <w:pPr>
        <w:ind w:left="9840" w:hanging="420"/>
      </w:pPr>
      <w:rPr>
        <w:rFonts w:ascii="Wingdings" w:hAnsi="Wingdings" w:hint="default"/>
      </w:rPr>
    </w:lvl>
    <w:lvl w:ilvl="8" w:tplc="04090005" w:tentative="1">
      <w:start w:val="1"/>
      <w:numFmt w:val="bullet"/>
      <w:lvlText w:val=""/>
      <w:lvlJc w:val="left"/>
      <w:pPr>
        <w:ind w:left="10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67"/>
    <w:rsid w:val="000C55C8"/>
    <w:rsid w:val="005A7DFE"/>
    <w:rsid w:val="00AF4E67"/>
    <w:rsid w:val="00B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7F3B3-B087-420A-B6A3-AA7AFB33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5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5C8"/>
    <w:rPr>
      <w:sz w:val="18"/>
      <w:szCs w:val="18"/>
    </w:rPr>
  </w:style>
  <w:style w:type="paragraph" w:styleId="a4">
    <w:name w:val="footer"/>
    <w:basedOn w:val="a"/>
    <w:link w:val="Char0"/>
    <w:uiPriority w:val="99"/>
    <w:unhideWhenUsed/>
    <w:qFormat/>
    <w:rsid w:val="000C55C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C55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2.html" TargetMode="External"/><Relationship Id="rId13" Type="http://schemas.openxmlformats.org/officeDocument/2006/relationships/hyperlink" Target="http://www.nsfc.gov.cn/nsfc/cen/xmzn/2016xmzn/07/08.html" TargetMode="External"/><Relationship Id="rId3" Type="http://schemas.openxmlformats.org/officeDocument/2006/relationships/settings" Target="settings.xml"/><Relationship Id="rId7" Type="http://schemas.openxmlformats.org/officeDocument/2006/relationships/hyperlink" Target="http://www.nsfc.gov.cn/nsfc/cen/xmzn/2016xmzn/07/01.html" TargetMode="External"/><Relationship Id="rId12" Type="http://schemas.openxmlformats.org/officeDocument/2006/relationships/hyperlink" Target="http://www.nsfc.gov.cn/nsfc/cen/xmzn/2016xmzn/07/0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fc.gov.cn/nsfc/cen/xmzn/2016xmzn/07/0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sfc.gov.cn/nsfc/cen/xmzn/2016xmzn/07/04.html" TargetMode="External"/><Relationship Id="rId4" Type="http://schemas.openxmlformats.org/officeDocument/2006/relationships/webSettings" Target="webSettings.xml"/><Relationship Id="rId9" Type="http://schemas.openxmlformats.org/officeDocument/2006/relationships/hyperlink" Target="http://www.nsfc.gov.cn/nsfc/cen/xmzn/2016xmzn/07/03.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3045</Characters>
  <Application>Microsoft Office Word</Application>
  <DocSecurity>0</DocSecurity>
  <Lines>25</Lines>
  <Paragraphs>7</Paragraphs>
  <ScaleCrop>false</ScaleCrop>
  <Company>china</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2020-04-13T03:20:00Z</dcterms:created>
  <dcterms:modified xsi:type="dcterms:W3CDTF">2020-04-13T03:21:00Z</dcterms:modified>
</cp:coreProperties>
</file>